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875" w:rsidRPr="00186875" w:rsidRDefault="00186875" w:rsidP="00186875">
      <w:pPr>
        <w:shd w:val="clear" w:color="auto" w:fill="FFFFFF"/>
        <w:spacing w:line="240" w:lineRule="auto"/>
        <w:jc w:val="left"/>
        <w:outlineLvl w:val="0"/>
        <w:rPr>
          <w:rFonts w:eastAsia="Times New Roman" w:cs="Helvetica"/>
          <w:caps/>
          <w:color w:val="333333"/>
          <w:kern w:val="36"/>
          <w:sz w:val="48"/>
          <w:szCs w:val="48"/>
          <w:lang w:eastAsia="fr-FR"/>
        </w:rPr>
      </w:pPr>
      <w:r w:rsidRPr="00186875">
        <w:rPr>
          <w:rFonts w:eastAsia="Times New Roman" w:cs="Helvetica"/>
          <w:noProof/>
          <w:color w:val="222222"/>
          <w:sz w:val="21"/>
          <w:szCs w:val="21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3885565</wp:posOffset>
            </wp:positionH>
            <wp:positionV relativeFrom="paragraph">
              <wp:posOffset>0</wp:posOffset>
            </wp:positionV>
            <wp:extent cx="2377440" cy="3192780"/>
            <wp:effectExtent l="0" t="0" r="3810" b="7620"/>
            <wp:wrapTight wrapText="bothSides">
              <wp:wrapPolygon edited="0">
                <wp:start x="0" y="0"/>
                <wp:lineTo x="0" y="21523"/>
                <wp:lineTo x="21462" y="21523"/>
                <wp:lineTo x="21462" y="0"/>
                <wp:lineTo x="0" y="0"/>
              </wp:wrapPolygon>
            </wp:wrapTight>
            <wp:docPr id="1" name="Image 1" descr="https://mediatheque.jura.fr/images/images-portail/menu-metier/s-menu-se-former/rub-ailleurs/2025/Visuel_Canop%C3%A9_v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theque.jura.fr/images/images-portail/menu-metier/s-menu-se-former/rub-ailleurs/2025/Visuel_Canop%C3%A9_v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6875">
        <w:rPr>
          <w:rFonts w:eastAsia="Times New Roman" w:cs="Helvetica"/>
          <w:caps/>
          <w:color w:val="333333"/>
          <w:kern w:val="36"/>
          <w:sz w:val="48"/>
          <w:szCs w:val="48"/>
          <w:lang w:eastAsia="fr-FR"/>
        </w:rPr>
        <w:t>Bibliothèque et école : plus forts ensemble !</w:t>
      </w: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  <w:r w:rsidRPr="00186875">
        <w:rPr>
          <w:rFonts w:eastAsia="Times New Roman" w:cs="Helvetica"/>
          <w:color w:val="222222"/>
          <w:sz w:val="21"/>
          <w:szCs w:val="21"/>
          <w:lang w:eastAsia="fr-FR"/>
        </w:rPr>
        <w:t>Enfant, élève, lecteur, joueur… Continuité et complémentarité des pratiques</w:t>
      </w: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</w:p>
    <w:p w:rsidR="00186875" w:rsidRDefault="00186875" w:rsidP="00186875">
      <w:pPr>
        <w:shd w:val="clear" w:color="auto" w:fill="FFFFFF"/>
        <w:spacing w:line="240" w:lineRule="auto"/>
        <w:rPr>
          <w:rFonts w:eastAsia="Times New Roman" w:cs="Helvetica"/>
          <w:color w:val="222222"/>
          <w:sz w:val="21"/>
          <w:szCs w:val="21"/>
          <w:lang w:eastAsia="fr-FR"/>
        </w:rPr>
      </w:pPr>
      <w:r w:rsidRPr="00186875">
        <w:rPr>
          <w:rFonts w:eastAsia="Times New Roman" w:cs="Helvetica"/>
          <w:color w:val="222222"/>
          <w:sz w:val="21"/>
          <w:szCs w:val="21"/>
          <w:lang w:eastAsia="fr-FR"/>
        </w:rPr>
        <w:t xml:space="preserve">L'Atelier Canopé 39 invite les bibliothèques jurassiennes à une journée d'échanges de pratiques </w:t>
      </w:r>
      <w:r w:rsidRPr="00186875">
        <w:rPr>
          <w:rFonts w:eastAsia="Times New Roman" w:cs="Helvetica"/>
          <w:b/>
          <w:color w:val="222222"/>
          <w:sz w:val="21"/>
          <w:szCs w:val="21"/>
          <w:lang w:eastAsia="fr-FR"/>
        </w:rPr>
        <w:t>le jeudi 12 juin 2025</w:t>
      </w:r>
      <w:r w:rsidRPr="00186875">
        <w:rPr>
          <w:rFonts w:eastAsia="Times New Roman" w:cs="Helvetica"/>
          <w:color w:val="222222"/>
          <w:sz w:val="21"/>
          <w:szCs w:val="21"/>
          <w:lang w:eastAsia="fr-FR"/>
        </w:rPr>
        <w:t xml:space="preserve">. </w:t>
      </w:r>
    </w:p>
    <w:p w:rsidR="00186875" w:rsidRPr="00186875" w:rsidRDefault="00186875" w:rsidP="00186875">
      <w:pPr>
        <w:shd w:val="clear" w:color="auto" w:fill="FFFFFF"/>
        <w:spacing w:line="240" w:lineRule="auto"/>
        <w:rPr>
          <w:rFonts w:eastAsia="Times New Roman" w:cs="Helvetica"/>
          <w:color w:val="222222"/>
          <w:sz w:val="21"/>
          <w:szCs w:val="21"/>
          <w:lang w:eastAsia="fr-FR"/>
        </w:rPr>
      </w:pPr>
    </w:p>
    <w:p w:rsidR="00186875" w:rsidRPr="00186875" w:rsidRDefault="00186875" w:rsidP="00186875">
      <w:pPr>
        <w:shd w:val="clear" w:color="auto" w:fill="FFFFFF"/>
        <w:spacing w:line="240" w:lineRule="auto"/>
        <w:rPr>
          <w:rFonts w:eastAsia="Times New Roman" w:cs="Helvetica"/>
          <w:color w:val="222222"/>
          <w:sz w:val="21"/>
          <w:szCs w:val="21"/>
          <w:lang w:eastAsia="fr-FR"/>
        </w:rPr>
      </w:pPr>
      <w:r w:rsidRPr="00186875">
        <w:rPr>
          <w:rFonts w:eastAsia="Times New Roman" w:cs="Helvetica"/>
          <w:color w:val="222222"/>
          <w:sz w:val="21"/>
          <w:szCs w:val="21"/>
          <w:lang w:eastAsia="fr-FR"/>
        </w:rPr>
        <w:t xml:space="preserve">Cette journée est ouverte à tous, salariés et bénévoles. Elle a été conçue sur mesure </w:t>
      </w:r>
      <w:r>
        <w:rPr>
          <w:rFonts w:eastAsia="Times New Roman" w:cs="Helvetica"/>
          <w:color w:val="222222"/>
          <w:sz w:val="21"/>
          <w:szCs w:val="21"/>
          <w:lang w:eastAsia="fr-FR"/>
        </w:rPr>
        <w:t xml:space="preserve">avec la médiathèque départementale </w:t>
      </w:r>
      <w:r w:rsidRPr="00186875">
        <w:rPr>
          <w:rFonts w:eastAsia="Times New Roman" w:cs="Helvetica"/>
          <w:color w:val="222222"/>
          <w:sz w:val="21"/>
          <w:szCs w:val="21"/>
          <w:lang w:eastAsia="fr-FR"/>
        </w:rPr>
        <w:t>pour les bibliothèques du réseau, pour vous offrir des espaces d'échanges et de discussion, complétés par des apports de praticiens (ludothécaire, enseignant en éducation aux médias...).</w:t>
      </w: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  <w:r>
        <w:rPr>
          <w:rFonts w:eastAsia="Times New Roman" w:cs="Helvetica"/>
          <w:color w:val="222222"/>
          <w:sz w:val="21"/>
          <w:szCs w:val="21"/>
          <w:lang w:eastAsia="fr-FR"/>
        </w:rPr>
        <w:t>Programme</w:t>
      </w:r>
    </w:p>
    <w:p w:rsidR="00186875" w:rsidRP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  <w:r w:rsidRPr="00186875">
        <w:rPr>
          <w:rFonts w:eastAsia="Times New Roman" w:cs="Helvetica"/>
          <w:color w:val="222222"/>
          <w:sz w:val="21"/>
          <w:szCs w:val="21"/>
          <w:lang w:eastAsia="fr-FR"/>
        </w:rPr>
        <w:t>8h30-9h Accueil</w:t>
      </w:r>
    </w:p>
    <w:p w:rsidR="00186875" w:rsidRP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b/>
          <w:bCs/>
          <w:color w:val="222222"/>
          <w:sz w:val="21"/>
          <w:szCs w:val="21"/>
          <w:lang w:eastAsia="fr-FR"/>
        </w:rPr>
      </w:pPr>
      <w:r w:rsidRPr="00186875">
        <w:rPr>
          <w:rFonts w:eastAsia="Times New Roman" w:cs="Helvetica"/>
          <w:color w:val="222222"/>
          <w:sz w:val="21"/>
          <w:szCs w:val="21"/>
          <w:lang w:eastAsia="fr-FR"/>
        </w:rPr>
        <w:t>9h-10h15 </w:t>
      </w:r>
      <w:r w:rsidRPr="00186875">
        <w:rPr>
          <w:rFonts w:eastAsia="Times New Roman" w:cs="Helvetica"/>
          <w:b/>
          <w:bCs/>
          <w:color w:val="222222"/>
          <w:sz w:val="21"/>
          <w:szCs w:val="21"/>
          <w:lang w:eastAsia="fr-FR"/>
        </w:rPr>
        <w:t>Table ronde suivie d’échanges : Le jeu, à quoi ça sert, comment ça marche ?</w:t>
      </w: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  <w:r w:rsidRPr="00186875">
        <w:rPr>
          <w:rFonts w:eastAsia="Times New Roman" w:cs="Helvetica"/>
          <w:color w:val="222222"/>
          <w:sz w:val="21"/>
          <w:szCs w:val="21"/>
          <w:lang w:eastAsia="fr-FR"/>
        </w:rPr>
        <w:t>En quoi le jeu est-il facteur d’apprentissages, d’interactions, de sociabilisation… ? Comment intégrer le jeu dans la bibliothèque, dans les accueils de classe ?</w:t>
      </w:r>
    </w:p>
    <w:p w:rsidR="00186875" w:rsidRP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  <w:r w:rsidRPr="00186875">
        <w:rPr>
          <w:rFonts w:eastAsia="Times New Roman" w:cs="Helvetica"/>
          <w:color w:val="222222"/>
          <w:sz w:val="21"/>
          <w:szCs w:val="21"/>
          <w:lang w:eastAsia="fr-FR"/>
        </w:rPr>
        <w:t>10h15-10h30 Pause</w:t>
      </w:r>
    </w:p>
    <w:p w:rsidR="00186875" w:rsidRP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  <w:r w:rsidRPr="00186875">
        <w:rPr>
          <w:rFonts w:eastAsia="Times New Roman" w:cs="Helvetica"/>
          <w:color w:val="222222"/>
          <w:sz w:val="21"/>
          <w:szCs w:val="21"/>
          <w:lang w:eastAsia="fr-FR"/>
        </w:rPr>
        <w:t>10h30-12h : </w:t>
      </w:r>
      <w:r w:rsidRPr="00186875">
        <w:rPr>
          <w:rFonts w:eastAsia="Times New Roman" w:cs="Helvetica"/>
          <w:b/>
          <w:bCs/>
          <w:color w:val="222222"/>
          <w:sz w:val="21"/>
          <w:szCs w:val="21"/>
          <w:lang w:eastAsia="fr-FR"/>
        </w:rPr>
        <w:t>Atelier au choix</w:t>
      </w:r>
      <w:r w:rsidRPr="00186875">
        <w:rPr>
          <w:rFonts w:eastAsia="Times New Roman" w:cs="Helvetica"/>
          <w:color w:val="222222"/>
          <w:sz w:val="21"/>
          <w:szCs w:val="21"/>
          <w:lang w:eastAsia="fr-FR"/>
        </w:rPr>
        <w:t> :</w:t>
      </w: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i/>
          <w:iCs/>
          <w:color w:val="222222"/>
          <w:sz w:val="21"/>
          <w:szCs w:val="21"/>
          <w:lang w:eastAsia="fr-FR"/>
        </w:rPr>
      </w:pPr>
      <w:r w:rsidRPr="00186875">
        <w:rPr>
          <w:rFonts w:eastAsia="Times New Roman" w:cs="Helvetica"/>
          <w:color w:val="222222"/>
          <w:sz w:val="21"/>
          <w:szCs w:val="21"/>
          <w:lang w:eastAsia="fr-FR"/>
        </w:rPr>
        <w:t>Atelier 1 : </w:t>
      </w:r>
      <w:r w:rsidRPr="00186875">
        <w:rPr>
          <w:rFonts w:eastAsia="Times New Roman" w:cs="Helvetica"/>
          <w:i/>
          <w:iCs/>
          <w:color w:val="222222"/>
          <w:sz w:val="21"/>
          <w:szCs w:val="21"/>
          <w:lang w:eastAsia="fr-FR"/>
        </w:rPr>
        <w:t>Créer ou détourner des jeux comme outils de médiation du lieu ou des ressources</w:t>
      </w: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  <w:r w:rsidRPr="00186875">
        <w:rPr>
          <w:rFonts w:eastAsia="Times New Roman" w:cs="Helvetica"/>
          <w:color w:val="222222"/>
          <w:sz w:val="21"/>
          <w:szCs w:val="21"/>
          <w:lang w:eastAsia="fr-FR"/>
        </w:rPr>
        <w:t xml:space="preserve">Jeu de l’oie, escape </w:t>
      </w:r>
      <w:proofErr w:type="spellStart"/>
      <w:r w:rsidRPr="00186875">
        <w:rPr>
          <w:rFonts w:eastAsia="Times New Roman" w:cs="Helvetica"/>
          <w:color w:val="222222"/>
          <w:sz w:val="21"/>
          <w:szCs w:val="21"/>
          <w:lang w:eastAsia="fr-FR"/>
        </w:rPr>
        <w:t>game</w:t>
      </w:r>
      <w:proofErr w:type="spellEnd"/>
      <w:r w:rsidRPr="00186875">
        <w:rPr>
          <w:rFonts w:eastAsia="Times New Roman" w:cs="Helvetica"/>
          <w:color w:val="222222"/>
          <w:sz w:val="21"/>
          <w:szCs w:val="21"/>
          <w:lang w:eastAsia="fr-FR"/>
        </w:rPr>
        <w:t>, jeu de piste, memory, cherche et trouve… autant de jeux qui peuvent servir à présenter la bibliothèque, initier à la recherche, découvrir le patrimoine local, etc.</w:t>
      </w:r>
    </w:p>
    <w:p w:rsidR="00186875" w:rsidRP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i/>
          <w:iCs/>
          <w:color w:val="222222"/>
          <w:sz w:val="21"/>
          <w:szCs w:val="21"/>
          <w:lang w:eastAsia="fr-FR"/>
        </w:rPr>
      </w:pPr>
      <w:r w:rsidRPr="00186875">
        <w:rPr>
          <w:rFonts w:eastAsia="Times New Roman" w:cs="Helvetica"/>
          <w:color w:val="222222"/>
          <w:sz w:val="21"/>
          <w:szCs w:val="21"/>
          <w:lang w:eastAsia="fr-FR"/>
        </w:rPr>
        <w:t>Atelier 2 : </w:t>
      </w:r>
      <w:r w:rsidRPr="00186875">
        <w:rPr>
          <w:rFonts w:eastAsia="Times New Roman" w:cs="Helvetica"/>
          <w:i/>
          <w:iCs/>
          <w:color w:val="222222"/>
          <w:sz w:val="21"/>
          <w:szCs w:val="21"/>
          <w:lang w:eastAsia="fr-FR"/>
        </w:rPr>
        <w:t>Les IAG rêvent-elles à un Harry Potter numérique ?</w:t>
      </w: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  <w:r w:rsidRPr="00186875">
        <w:rPr>
          <w:rFonts w:eastAsia="Times New Roman" w:cs="Helvetica"/>
          <w:color w:val="222222"/>
          <w:sz w:val="21"/>
          <w:szCs w:val="21"/>
          <w:lang w:eastAsia="fr-FR"/>
        </w:rPr>
        <w:t>Les activités ludiques avec l’intelligence artificielle générative (par exemple autour des héros de la littérature) permettent d’aborder des thématiques diverses : droit à l’image, droit d’auteur, biais cognitifs, fiabilité de l’information…</w:t>
      </w:r>
    </w:p>
    <w:p w:rsidR="00186875" w:rsidRP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i/>
          <w:iCs/>
          <w:color w:val="222222"/>
          <w:sz w:val="21"/>
          <w:szCs w:val="21"/>
          <w:lang w:eastAsia="fr-FR"/>
        </w:rPr>
      </w:pPr>
      <w:r w:rsidRPr="00186875">
        <w:rPr>
          <w:rFonts w:eastAsia="Times New Roman" w:cs="Helvetica"/>
          <w:color w:val="222222"/>
          <w:sz w:val="21"/>
          <w:szCs w:val="21"/>
          <w:lang w:eastAsia="fr-FR"/>
        </w:rPr>
        <w:t>Atelier 3 : </w:t>
      </w:r>
      <w:r w:rsidRPr="00186875">
        <w:rPr>
          <w:rFonts w:eastAsia="Times New Roman" w:cs="Helvetica"/>
          <w:i/>
          <w:iCs/>
          <w:color w:val="222222"/>
          <w:sz w:val="21"/>
          <w:szCs w:val="21"/>
          <w:lang w:eastAsia="fr-FR"/>
        </w:rPr>
        <w:t>Enjeux de l’accueil de classes en bibliothèque publique</w:t>
      </w: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  <w:r w:rsidRPr="00186875">
        <w:rPr>
          <w:rFonts w:eastAsia="Times New Roman" w:cs="Helvetica"/>
          <w:color w:val="222222"/>
          <w:sz w:val="21"/>
          <w:szCs w:val="21"/>
          <w:lang w:eastAsia="fr-FR"/>
        </w:rPr>
        <w:t>Les accueils de classes sont une partie importante de l’activité des bibliothèques. Comment concilier les objectifs et les attentes de tous les acteurs (bibliothécaires, enseignants, élus…) ?</w:t>
      </w:r>
    </w:p>
    <w:p w:rsidR="00186875" w:rsidRP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  <w:r w:rsidRPr="00186875">
        <w:rPr>
          <w:rFonts w:eastAsia="Times New Roman" w:cs="Helvetica"/>
          <w:color w:val="222222"/>
          <w:sz w:val="21"/>
          <w:szCs w:val="21"/>
          <w:lang w:eastAsia="fr-FR"/>
        </w:rPr>
        <w:t>12h-13h30 Déjeuner libre</w:t>
      </w:r>
    </w:p>
    <w:p w:rsidR="00186875" w:rsidRP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b/>
          <w:bCs/>
          <w:color w:val="222222"/>
          <w:sz w:val="21"/>
          <w:szCs w:val="21"/>
          <w:lang w:eastAsia="fr-FR"/>
        </w:rPr>
      </w:pPr>
      <w:r w:rsidRPr="00186875">
        <w:rPr>
          <w:rFonts w:eastAsia="Times New Roman" w:cs="Helvetica"/>
          <w:color w:val="222222"/>
          <w:sz w:val="21"/>
          <w:szCs w:val="21"/>
          <w:lang w:eastAsia="fr-FR"/>
        </w:rPr>
        <w:t>13h30-14h45 </w:t>
      </w:r>
      <w:r w:rsidRPr="00186875">
        <w:rPr>
          <w:rFonts w:eastAsia="Times New Roman" w:cs="Helvetica"/>
          <w:b/>
          <w:bCs/>
          <w:color w:val="222222"/>
          <w:sz w:val="21"/>
          <w:szCs w:val="21"/>
          <w:lang w:eastAsia="fr-FR"/>
        </w:rPr>
        <w:t>Table ronde suivie d’échanges : Culture et information des jeunes : pratiques et contexte</w:t>
      </w: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  <w:r w:rsidRPr="00186875">
        <w:rPr>
          <w:rFonts w:eastAsia="Times New Roman" w:cs="Helvetica"/>
          <w:color w:val="222222"/>
          <w:sz w:val="21"/>
          <w:szCs w:val="21"/>
          <w:lang w:eastAsia="fr-FR"/>
        </w:rPr>
        <w:t>Comment les jeunes s’informent-ils, avec quels médias, comment analysent-ils les informations ? Comment utilisent-ils les outils à leur disposition (réseaux sociaux, IA, sites institutionnels…) ?</w:t>
      </w:r>
    </w:p>
    <w:p w:rsidR="00186875" w:rsidRP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  <w:r w:rsidRPr="00186875">
        <w:rPr>
          <w:rFonts w:eastAsia="Times New Roman" w:cs="Helvetica"/>
          <w:color w:val="222222"/>
          <w:sz w:val="21"/>
          <w:szCs w:val="21"/>
          <w:lang w:eastAsia="fr-FR"/>
        </w:rPr>
        <w:t>14h45-15h00 Pause</w:t>
      </w:r>
    </w:p>
    <w:p w:rsidR="00186875" w:rsidRP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</w:p>
    <w:p w:rsidR="00186875" w:rsidRP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  <w:r w:rsidRPr="00186875">
        <w:rPr>
          <w:rFonts w:eastAsia="Times New Roman" w:cs="Helvetica"/>
          <w:color w:val="222222"/>
          <w:sz w:val="21"/>
          <w:szCs w:val="21"/>
          <w:lang w:eastAsia="fr-FR"/>
        </w:rPr>
        <w:t>15h00-16h30 : </w:t>
      </w:r>
      <w:r w:rsidRPr="00186875">
        <w:rPr>
          <w:rFonts w:eastAsia="Times New Roman" w:cs="Helvetica"/>
          <w:b/>
          <w:bCs/>
          <w:color w:val="222222"/>
          <w:sz w:val="21"/>
          <w:szCs w:val="21"/>
          <w:lang w:eastAsia="fr-FR"/>
        </w:rPr>
        <w:t>Atelier au choix</w:t>
      </w:r>
      <w:r w:rsidRPr="00186875">
        <w:rPr>
          <w:rFonts w:eastAsia="Times New Roman" w:cs="Helvetica"/>
          <w:color w:val="222222"/>
          <w:sz w:val="21"/>
          <w:szCs w:val="21"/>
          <w:lang w:eastAsia="fr-FR"/>
        </w:rPr>
        <w:t> </w:t>
      </w:r>
      <w:r>
        <w:rPr>
          <w:rFonts w:eastAsia="Times New Roman" w:cs="Helvetica"/>
          <w:color w:val="222222"/>
          <w:sz w:val="21"/>
          <w:szCs w:val="21"/>
          <w:lang w:eastAsia="fr-FR"/>
        </w:rPr>
        <w:t>(mêmes thématiques que le matin)</w:t>
      </w:r>
    </w:p>
    <w:p w:rsidR="00FB3FC4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  <w:r>
        <w:rPr>
          <w:rFonts w:eastAsia="Times New Roman" w:cs="Helvetica"/>
          <w:color w:val="222222"/>
          <w:sz w:val="21"/>
          <w:szCs w:val="21"/>
          <w:lang w:eastAsia="fr-FR"/>
        </w:rPr>
        <w:lastRenderedPageBreak/>
        <w:t>Bulletin d’inscription à renvoyer à la médiathèque départementale (</w:t>
      </w:r>
      <w:hyperlink r:id="rId5" w:history="1">
        <w:r w:rsidRPr="0009794B">
          <w:rPr>
            <w:rStyle w:val="Lienhypertexte"/>
            <w:rFonts w:eastAsia="Times New Roman" w:cs="Helvetica"/>
            <w:sz w:val="21"/>
            <w:szCs w:val="21"/>
            <w:lang w:eastAsia="fr-FR"/>
          </w:rPr>
          <w:t>bdpjura@jura.fr</w:t>
        </w:r>
      </w:hyperlink>
      <w:r>
        <w:rPr>
          <w:rFonts w:eastAsia="Times New Roman" w:cs="Helvetica"/>
          <w:color w:val="222222"/>
          <w:sz w:val="21"/>
          <w:szCs w:val="21"/>
          <w:lang w:eastAsia="fr-FR"/>
        </w:rPr>
        <w:t>)</w:t>
      </w: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  <w:r>
        <w:rPr>
          <w:rFonts w:eastAsia="Times New Roman" w:cs="Helvetica"/>
          <w:color w:val="222222"/>
          <w:sz w:val="21"/>
          <w:szCs w:val="21"/>
          <w:lang w:eastAsia="fr-FR"/>
        </w:rPr>
        <w:t>Attention, ce bulletin ne dispense pas de l’inscription en ligne, merci !</w:t>
      </w: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  <w:r>
        <w:rPr>
          <w:rFonts w:eastAsia="Times New Roman" w:cs="Helvetica"/>
          <w:color w:val="222222"/>
          <w:sz w:val="21"/>
          <w:szCs w:val="21"/>
          <w:lang w:eastAsia="fr-FR"/>
        </w:rPr>
        <w:t xml:space="preserve">NOM : </w:t>
      </w: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  <w:r>
        <w:rPr>
          <w:rFonts w:eastAsia="Times New Roman" w:cs="Helvetica"/>
          <w:color w:val="222222"/>
          <w:sz w:val="21"/>
          <w:szCs w:val="21"/>
          <w:lang w:eastAsia="fr-FR"/>
        </w:rPr>
        <w:t>Prénom :</w:t>
      </w: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  <w:r>
        <w:rPr>
          <w:rFonts w:eastAsia="Times New Roman" w:cs="Helvetica"/>
          <w:color w:val="222222"/>
          <w:sz w:val="21"/>
          <w:szCs w:val="21"/>
          <w:lang w:eastAsia="fr-FR"/>
        </w:rPr>
        <w:t>Adresse de messagerie :</w:t>
      </w: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  <w:r>
        <w:rPr>
          <w:rFonts w:eastAsia="Times New Roman" w:cs="Helvetica"/>
          <w:color w:val="222222"/>
          <w:sz w:val="21"/>
          <w:szCs w:val="21"/>
          <w:lang w:eastAsia="fr-FR"/>
        </w:rPr>
        <w:t>Médiathèque :</w:t>
      </w: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  <w:r>
        <w:rPr>
          <w:rFonts w:eastAsia="Times New Roman" w:cs="Helvetica"/>
          <w:color w:val="222222"/>
          <w:sz w:val="21"/>
          <w:szCs w:val="21"/>
          <w:lang w:eastAsia="fr-FR"/>
        </w:rPr>
        <w:t>Date et signature du stagiaire :</w:t>
      </w: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</w:p>
    <w:p w:rsidR="00186875" w:rsidRDefault="00186875" w:rsidP="00186875">
      <w:pPr>
        <w:shd w:val="clear" w:color="auto" w:fill="FFFFFF"/>
        <w:spacing w:line="240" w:lineRule="auto"/>
        <w:jc w:val="left"/>
        <w:rPr>
          <w:rFonts w:eastAsia="Times New Roman" w:cs="Helvetica"/>
          <w:color w:val="222222"/>
          <w:sz w:val="21"/>
          <w:szCs w:val="21"/>
          <w:lang w:eastAsia="fr-FR"/>
        </w:rPr>
      </w:pPr>
      <w:bookmarkStart w:id="0" w:name="_GoBack"/>
      <w:bookmarkEnd w:id="0"/>
      <w:r w:rsidRPr="001D12F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4C2C0" wp14:editId="0480134D">
                <wp:simplePos x="0" y="0"/>
                <wp:positionH relativeFrom="column">
                  <wp:posOffset>0</wp:posOffset>
                </wp:positionH>
                <wp:positionV relativeFrom="paragraph">
                  <wp:posOffset>167005</wp:posOffset>
                </wp:positionV>
                <wp:extent cx="3409950" cy="1547495"/>
                <wp:effectExtent l="0" t="0" r="0" b="0"/>
                <wp:wrapSquare wrapText="bothSides"/>
                <wp:docPr id="6" name="Zone de texte 2" descr="Cette zone rectangulaire permet à la collectivité d'apposer date, signature et cachet." title="Zone de signature de la collectivit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54749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875" w:rsidRPr="001D12FA" w:rsidRDefault="00186875" w:rsidP="00186875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1D12FA">
                              <w:rPr>
                                <w:rFonts w:ascii="Arial Rounded MT Bold" w:hAnsi="Arial Rounded MT Bold"/>
                              </w:rPr>
                              <w:t>Collectivité (cachet, date et signature)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4C2C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alt="Titre : Zone de signature de la collectivité - Description : Cette zone rectangulaire permet à la collectivité d'apposer date, signature et cachet." style="position:absolute;margin-left:0;margin-top:13.15pt;width:268.5pt;height:1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" fillcolor="#eaeaea" stroked="f">
                <v:textbox>
                  <w:txbxContent>
                    <w:p w:rsidR="00186875" w:rsidRPr="001D12FA" w:rsidRDefault="00186875" w:rsidP="00186875">
                      <w:pPr>
                        <w:rPr>
                          <w:rFonts w:ascii="Arial Rounded MT Bold" w:hAnsi="Arial Rounded MT Bold"/>
                        </w:rPr>
                      </w:pPr>
                      <w:r w:rsidRPr="001D12FA">
                        <w:rPr>
                          <w:rFonts w:ascii="Arial Rounded MT Bold" w:hAnsi="Arial Rounded MT Bold"/>
                        </w:rPr>
                        <w:t>Collectivité (cachet, date et signature)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86875" w:rsidSect="0018687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75"/>
    <w:rsid w:val="00186875"/>
    <w:rsid w:val="004606A5"/>
    <w:rsid w:val="0096467B"/>
    <w:rsid w:val="00FB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4587"/>
  <w15:chartTrackingRefBased/>
  <w15:docId w15:val="{92F98430-B16C-480D-AD05-A5CAC4C7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467B"/>
    <w:pPr>
      <w:spacing w:after="0"/>
      <w:jc w:val="both"/>
    </w:pPr>
    <w:rPr>
      <w:rFonts w:ascii="Century Gothic" w:hAnsi="Century Gothic"/>
    </w:rPr>
  </w:style>
  <w:style w:type="paragraph" w:styleId="Titre1">
    <w:name w:val="heading 1"/>
    <w:basedOn w:val="Normal"/>
    <w:next w:val="Normal"/>
    <w:link w:val="Titre1Car"/>
    <w:uiPriority w:val="9"/>
    <w:qFormat/>
    <w:rsid w:val="004606A5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606A5"/>
    <w:pPr>
      <w:keepNext/>
      <w:keepLines/>
      <w:spacing w:before="200"/>
      <w:outlineLvl w:val="1"/>
    </w:pPr>
    <w:rPr>
      <w:rFonts w:eastAsiaTheme="majorEastAsia"/>
      <w:b/>
      <w:bCs/>
      <w:color w:val="4F81BD" w:themeColor="accent1"/>
      <w:sz w:val="26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06A5"/>
    <w:pPr>
      <w:keepNext/>
      <w:keepLines/>
      <w:spacing w:before="200"/>
      <w:outlineLvl w:val="2"/>
    </w:pPr>
    <w:rPr>
      <w:rFonts w:eastAsiaTheme="majorEastAsia"/>
      <w:b/>
      <w:bCs/>
      <w:color w:val="4F81BD" w:themeColor="accent1"/>
      <w:szCs w:val="2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606A5"/>
    <w:pPr>
      <w:keepNext/>
      <w:keepLines/>
      <w:spacing w:before="200"/>
      <w:outlineLvl w:val="3"/>
    </w:pPr>
    <w:rPr>
      <w:rFonts w:eastAsiaTheme="majorEastAsia"/>
      <w:b/>
      <w:bCs/>
      <w:i/>
      <w:iCs/>
      <w:color w:val="4F81BD" w:themeColor="accent1"/>
      <w:szCs w:val="2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06A5"/>
    <w:pPr>
      <w:keepNext/>
      <w:keepLines/>
      <w:spacing w:before="200"/>
      <w:outlineLvl w:val="4"/>
    </w:pPr>
    <w:rPr>
      <w:rFonts w:eastAsiaTheme="majorEastAsia"/>
      <w:color w:val="243F60" w:themeColor="accent1" w:themeShade="7F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06A5"/>
    <w:rPr>
      <w:rFonts w:ascii="Century Gothic" w:eastAsiaTheme="majorEastAsia" w:hAnsi="Century Gothic" w:cstheme="majorBidi"/>
      <w:b/>
      <w:bCs/>
      <w:color w:val="365F91" w:themeColor="accent1" w:themeShade="BF"/>
      <w:kern w:val="3"/>
      <w:sz w:val="28"/>
      <w:szCs w:val="28"/>
      <w:lang w:eastAsia="zh-CN" w:bidi="hi-IN"/>
    </w:rPr>
  </w:style>
  <w:style w:type="character" w:customStyle="1" w:styleId="Titre2Car">
    <w:name w:val="Titre 2 Car"/>
    <w:basedOn w:val="Policepardfaut"/>
    <w:link w:val="Titre2"/>
    <w:uiPriority w:val="9"/>
    <w:rsid w:val="004606A5"/>
    <w:rPr>
      <w:rFonts w:ascii="Century Gothic" w:eastAsiaTheme="majorEastAsia" w:hAnsi="Century Gothic" w:cs="Mangal"/>
      <w:b/>
      <w:bCs/>
      <w:color w:val="4F81BD" w:themeColor="accent1"/>
      <w:kern w:val="3"/>
      <w:sz w:val="26"/>
      <w:szCs w:val="23"/>
      <w:lang w:eastAsia="zh-CN" w:bidi="hi-IN"/>
    </w:rPr>
  </w:style>
  <w:style w:type="character" w:customStyle="1" w:styleId="Titre3Car">
    <w:name w:val="Titre 3 Car"/>
    <w:basedOn w:val="Policepardfaut"/>
    <w:link w:val="Titre3"/>
    <w:uiPriority w:val="9"/>
    <w:rsid w:val="004606A5"/>
    <w:rPr>
      <w:rFonts w:ascii="Century Gothic" w:eastAsiaTheme="majorEastAsia" w:hAnsi="Century Gothic" w:cs="Mangal"/>
      <w:b/>
      <w:bCs/>
      <w:color w:val="4F81BD" w:themeColor="accent1"/>
      <w:kern w:val="3"/>
      <w:sz w:val="24"/>
      <w:szCs w:val="21"/>
      <w:lang w:eastAsia="zh-CN" w:bidi="hi-IN"/>
    </w:rPr>
  </w:style>
  <w:style w:type="character" w:customStyle="1" w:styleId="Titre4Car">
    <w:name w:val="Titre 4 Car"/>
    <w:basedOn w:val="Policepardfaut"/>
    <w:link w:val="Titre4"/>
    <w:uiPriority w:val="9"/>
    <w:rsid w:val="004606A5"/>
    <w:rPr>
      <w:rFonts w:ascii="Century Gothic" w:eastAsiaTheme="majorEastAsia" w:hAnsi="Century Gothic" w:cs="Mangal"/>
      <w:b/>
      <w:bCs/>
      <w:i/>
      <w:iCs/>
      <w:color w:val="4F81BD" w:themeColor="accent1"/>
      <w:kern w:val="3"/>
      <w:sz w:val="24"/>
      <w:szCs w:val="21"/>
      <w:lang w:eastAsia="zh-CN" w:bidi="hi-IN"/>
    </w:rPr>
  </w:style>
  <w:style w:type="character" w:customStyle="1" w:styleId="Titre5Car">
    <w:name w:val="Titre 5 Car"/>
    <w:basedOn w:val="Policepardfaut"/>
    <w:link w:val="Titre5"/>
    <w:uiPriority w:val="9"/>
    <w:semiHidden/>
    <w:rsid w:val="004606A5"/>
    <w:rPr>
      <w:rFonts w:ascii="Century Gothic" w:eastAsiaTheme="majorEastAsia" w:hAnsi="Century Gothic" w:cs="Mangal"/>
      <w:color w:val="243F60" w:themeColor="accent1" w:themeShade="7F"/>
      <w:kern w:val="3"/>
      <w:sz w:val="24"/>
      <w:szCs w:val="21"/>
      <w:lang w:eastAsia="zh-CN"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4606A5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606A5"/>
    <w:rPr>
      <w:rFonts w:ascii="Century Gothic" w:eastAsiaTheme="majorEastAsia" w:hAnsi="Century Gothic" w:cstheme="majorBidi"/>
      <w:color w:val="17365D" w:themeColor="text2" w:themeShade="BF"/>
      <w:spacing w:val="5"/>
      <w:kern w:val="28"/>
      <w:sz w:val="52"/>
      <w:szCs w:val="52"/>
      <w:lang w:eastAsia="zh-CN" w:bidi="hi-IN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06A5"/>
    <w:pPr>
      <w:numPr>
        <w:ilvl w:val="1"/>
      </w:numPr>
    </w:pPr>
    <w:rPr>
      <w:rFonts w:eastAsiaTheme="majorEastAsia"/>
      <w:i/>
      <w:iCs/>
      <w:color w:val="4F81BD" w:themeColor="accent1"/>
      <w:spacing w:val="15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4606A5"/>
    <w:rPr>
      <w:rFonts w:ascii="Century Gothic" w:eastAsiaTheme="majorEastAsia" w:hAnsi="Century Gothic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paragraph" w:styleId="Paragraphedeliste">
    <w:name w:val="List Paragraph"/>
    <w:basedOn w:val="Normal"/>
    <w:uiPriority w:val="34"/>
    <w:qFormat/>
    <w:rsid w:val="004606A5"/>
    <w:pPr>
      <w:ind w:left="720"/>
      <w:contextualSpacing/>
    </w:pPr>
    <w:rPr>
      <w:szCs w:val="21"/>
    </w:rPr>
  </w:style>
  <w:style w:type="character" w:styleId="Lienhypertexte">
    <w:name w:val="Hyperlink"/>
    <w:basedOn w:val="Policepardfaut"/>
    <w:uiPriority w:val="99"/>
    <w:unhideWhenUsed/>
    <w:rsid w:val="00186875"/>
    <w:rPr>
      <w:color w:val="0000FF"/>
      <w:u w:val="single"/>
    </w:rPr>
  </w:style>
  <w:style w:type="character" w:customStyle="1" w:styleId="sr-only">
    <w:name w:val="sr-only"/>
    <w:basedOn w:val="Policepardfaut"/>
    <w:rsid w:val="00186875"/>
  </w:style>
  <w:style w:type="paragraph" w:styleId="NormalWeb">
    <w:name w:val="Normal (Web)"/>
    <w:basedOn w:val="Normal"/>
    <w:uiPriority w:val="99"/>
    <w:semiHidden/>
    <w:unhideWhenUsed/>
    <w:rsid w:val="0018687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86875"/>
    <w:rPr>
      <w:b/>
      <w:bCs/>
    </w:rPr>
  </w:style>
  <w:style w:type="character" w:styleId="Accentuation">
    <w:name w:val="Emphasis"/>
    <w:basedOn w:val="Policepardfaut"/>
    <w:uiPriority w:val="20"/>
    <w:qFormat/>
    <w:rsid w:val="00186875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186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68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3414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7407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dpjura@jura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CD39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Beczkowski Hélène</dc:creator>
  <cp:keywords/>
  <dc:description/>
  <cp:lastModifiedBy>Beczkowski Hélène</cp:lastModifiedBy>
  <cp:revision>1</cp:revision>
  <dcterms:created xsi:type="dcterms:W3CDTF">2025-03-28T14:12:00Z</dcterms:created>
  <dcterms:modified xsi:type="dcterms:W3CDTF">2025-03-28T14:23:00Z</dcterms:modified>
</cp:coreProperties>
</file>